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F6" w:rsidRDefault="00042254">
      <w:pPr>
        <w:pStyle w:val="Standard"/>
        <w:jc w:val="center"/>
        <w:rPr>
          <w:rFonts w:ascii="標楷體, 'DF Kai Shu'" w:eastAsia="標楷體, 'DF Kai Shu'" w:hAnsi="標楷體, 'DF Kai Shu'" w:cs="標楷體, 'DF Kai Shu'"/>
          <w:b/>
          <w:sz w:val="40"/>
          <w:szCs w:val="40"/>
        </w:rPr>
      </w:pPr>
      <w:bookmarkStart w:id="0" w:name="_GoBack"/>
      <w:bookmarkEnd w:id="0"/>
      <w:r>
        <w:rPr>
          <w:rFonts w:ascii="標楷體, 'DF Kai Shu'" w:eastAsia="標楷體, 'DF Kai Shu'" w:hAnsi="標楷體, 'DF Kai Shu'" w:cs="標楷體, 'DF Kai Shu'"/>
          <w:b/>
          <w:noProof/>
          <w:sz w:val="40"/>
          <w:szCs w:val="40"/>
        </w:rPr>
        <mc:AlternateContent>
          <mc:Choice Requires="wps">
            <w:drawing>
              <wp:anchor distT="0" distB="0" distL="114300" distR="114300" simplePos="0" relativeHeight="251658240" behindDoc="1" locked="0" layoutInCell="1" allowOverlap="1">
                <wp:simplePos x="0" y="0"/>
                <wp:positionH relativeFrom="column">
                  <wp:posOffset>5832000</wp:posOffset>
                </wp:positionH>
                <wp:positionV relativeFrom="paragraph">
                  <wp:posOffset>-217800</wp:posOffset>
                </wp:positionV>
                <wp:extent cx="753840" cy="14760"/>
                <wp:effectExtent l="0" t="0" r="0" b="0"/>
                <wp:wrapNone/>
                <wp:docPr id="1" name="框架1"/>
                <wp:cNvGraphicFramePr/>
                <a:graphic xmlns:a="http://schemas.openxmlformats.org/drawingml/2006/main">
                  <a:graphicData uri="http://schemas.microsoft.com/office/word/2010/wordprocessingShape">
                    <wps:wsp>
                      <wps:cNvSpPr txBox="1"/>
                      <wps:spPr>
                        <a:xfrm>
                          <a:off x="0" y="0"/>
                          <a:ext cx="753840" cy="14760"/>
                        </a:xfrm>
                        <a:prstGeom prst="rect">
                          <a:avLst/>
                        </a:prstGeom>
                        <a:ln>
                          <a:noFill/>
                          <a:prstDash/>
                        </a:ln>
                      </wps:spPr>
                      <wps:txbx>
                        <w:txbxContent>
                          <w:p w:rsidR="00386EF6" w:rsidRDefault="00386EF6">
                            <w:pPr>
                              <w:pStyle w:val="Standard"/>
                              <w:rPr>
                                <w:sz w:val="20"/>
                                <w:szCs w:val="20"/>
                              </w:rPr>
                            </w:pPr>
                          </w:p>
                        </w:txbxContent>
                      </wps:txbx>
                      <wps:bodyPr vert="horz" wrap="none" lIns="92160" tIns="46440" rIns="92160" bIns="4644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459.2pt;margin-top:-17.15pt;width:59.35pt;height:1.1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" filled="f" stroked="f">
                <v:textbox style="mso-fit-shape-to-text:t" inset="2.56mm,1.29mm,2.56mm,1.29mm">
                  <w:txbxContent>
                    <w:p w:rsidR="00386EF6" w:rsidRDefault="00386EF6">
                      <w:pPr>
                        <w:pStyle w:val="Standard"/>
                        <w:rPr>
                          <w:sz w:val="20"/>
                          <w:szCs w:val="20"/>
                        </w:rPr>
                      </w:pPr>
                    </w:p>
                  </w:txbxContent>
                </v:textbox>
              </v:shape>
            </w:pict>
          </mc:Fallback>
        </mc:AlternateContent>
      </w:r>
      <w:r>
        <w:rPr>
          <w:rFonts w:ascii="標楷體, 'DF Kai Shu'" w:eastAsia="標楷體, 'DF Kai Shu'" w:hAnsi="標楷體, 'DF Kai Shu'" w:cs="標楷體, 'DF Kai Shu'"/>
          <w:b/>
          <w:sz w:val="40"/>
          <w:szCs w:val="40"/>
        </w:rPr>
        <w:t>高級中等學校進修部學生學習評量辦法修正條文</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第一條　　本辦法依高級中等教育法第八條第三項規定訂定之。</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第二條　　高級中等學校進修部（以下簡稱學校）學生學習評量，應以了解學生學習情形，激發學生多元潛能，培養學生核心素養，促進學生適性發展為目的，並作為教師教學及輔導之依據。</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第三條　　學校學生學習評量，包括學業成績評量及德行評量。</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第四條　　學業成績評量，採百分制評定，並得註記質性文字描述。</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 xml:space="preserve">　　　　　學業成績評量，按學生身心發展及個別差異，兼顧科目認知、技能及情意之教學目標，採多元評量方式，並於日常及定期為之；其各科目日常及定期學業成績評量之占分比率，由學校定之。</w:t>
      </w:r>
    </w:p>
    <w:p w:rsidR="00386EF6" w:rsidRDefault="00042254">
      <w:pPr>
        <w:pStyle w:val="Standard"/>
        <w:spacing w:line="460" w:lineRule="exact"/>
        <w:ind w:left="850" w:right="113" w:hanging="850"/>
        <w:rPr>
          <w:rFonts w:eastAsia="標楷體, 'DF Kai Shu'"/>
          <w:sz w:val="28"/>
          <w:szCs w:val="28"/>
        </w:rPr>
      </w:pPr>
      <w:r>
        <w:rPr>
          <w:rFonts w:eastAsia="標楷體, 'DF Kai Shu'"/>
          <w:sz w:val="28"/>
          <w:szCs w:val="28"/>
        </w:rPr>
        <w:t xml:space="preserve">　　　　　前項多元評量，得採筆試、作業、口試、表演、實作、實驗、見習、參觀、報告、資料蒐集整理、鑑賞、晤談、實踐、自我評量、同儕互評或檔案評量等方式辦理。</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第五條　　學業成績評量之科目及節數，依高級中等學校課程綱要（以下簡稱課程綱要）之規定。</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第六條　　學生於定期學業成績</w:t>
      </w:r>
      <w:r>
        <w:rPr>
          <w:rFonts w:eastAsia="標楷體, 'DF Kai Shu'"/>
          <w:sz w:val="28"/>
          <w:szCs w:val="28"/>
        </w:rPr>
        <w:t>評量時，因故不能參加全部科目或部分科目之評量，經學校核准給假者，學校得審酌其請假事由後，准予補行考試或採其他方式評量之；其評量方式、成績採計及登錄，由學校定之。</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第七條　　學期學業成績總平均之計算，為各科目學期學業成績乘以各該科目每週修習節數所得之總和，再除以每週科目修習總節數。</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 xml:space="preserve">　　　　　學年學業成績總平均之計算，以各科目學年學業成績乘以各該科目第一學期、第二學期平均每週修習節數所得之總和，再除以每週科目修習總節數。</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 xml:space="preserve">　　　　　各科目學期學業成績之計算，遇小數點時，採四捨五入法，取整數計算；學期、學年學業</w:t>
      </w:r>
      <w:r>
        <w:rPr>
          <w:rFonts w:eastAsia="標楷體, 'DF Kai Shu'"/>
          <w:sz w:val="28"/>
          <w:szCs w:val="28"/>
        </w:rPr>
        <w:t>成績總平均及各科目學年學業成績之計算，取小數點後一位數，第二位數採四捨五入法進入第一位數。</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lastRenderedPageBreak/>
        <w:t>第八條　　各科目學年學業成績之計算，以該科目第一學期、第二學期成績平均計算；該科目第一學期、第二學期每週科目修習節數不同時，其學年學業成績依各學期修習節數比例計算。</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 xml:space="preserve">　　　　　前項科目經定為學期課程者，以其學期學業成績為學年學業成績。</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第九條　　學業成績評量以學期為階段，以一百分為滿分；其及格基準規定如下：</w:t>
      </w:r>
    </w:p>
    <w:p w:rsidR="00386EF6" w:rsidRDefault="00042254">
      <w:pPr>
        <w:pStyle w:val="Default"/>
        <w:numPr>
          <w:ilvl w:val="0"/>
          <w:numId w:val="15"/>
        </w:numPr>
        <w:spacing w:line="460" w:lineRule="exact"/>
        <w:ind w:left="1985" w:hanging="567"/>
        <w:jc w:val="both"/>
      </w:pPr>
      <w:r>
        <w:rPr>
          <w:rFonts w:eastAsia="標楷體, 'DF Kai Shu'"/>
          <w:sz w:val="28"/>
          <w:szCs w:val="28"/>
        </w:rPr>
        <w:t>一般學生：以六十分為及格。但其單一科目第一學期學業成績達五十分且第二學期學業成績及格時，學年學業</w:t>
      </w:r>
      <w:r>
        <w:rPr>
          <w:rFonts w:eastAsia="標楷體, 'DF Kai Shu'"/>
          <w:sz w:val="28"/>
          <w:szCs w:val="28"/>
        </w:rPr>
        <w:t>成績經計算仍未達六十分者，其學年學業成績視為及格，並以六十分登錄。</w:t>
      </w:r>
    </w:p>
    <w:p w:rsidR="00386EF6" w:rsidRDefault="00042254">
      <w:pPr>
        <w:pStyle w:val="Default"/>
        <w:numPr>
          <w:ilvl w:val="0"/>
          <w:numId w:val="4"/>
        </w:numPr>
        <w:spacing w:line="460" w:lineRule="exact"/>
        <w:ind w:left="1985" w:hanging="567"/>
        <w:jc w:val="both"/>
        <w:rPr>
          <w:rFonts w:eastAsia="標楷體, 'DF Kai Shu'"/>
          <w:sz w:val="28"/>
          <w:szCs w:val="28"/>
        </w:rPr>
      </w:pPr>
      <w:r>
        <w:rPr>
          <w:rFonts w:eastAsia="標楷體, 'DF Kai Shu'"/>
          <w:sz w:val="28"/>
          <w:szCs w:val="28"/>
        </w:rPr>
        <w:t>依各種升學優待辦法規定入學之原住民學生、重大災害地區學生、政府派赴國外工作人員子女、退伍軍人、蒙藏學生、外國學生、境外優秀科學技術人才子女及基於人道考量、國際援助或其他特殊身分經專案核定安置之學生：一年級以四十分為及格，二年級以五十分為及格，三年級以後以六十分為及格。</w:t>
      </w:r>
    </w:p>
    <w:p w:rsidR="00386EF6" w:rsidRDefault="00042254">
      <w:pPr>
        <w:pStyle w:val="Default"/>
        <w:numPr>
          <w:ilvl w:val="0"/>
          <w:numId w:val="4"/>
        </w:numPr>
        <w:spacing w:line="460" w:lineRule="exact"/>
        <w:ind w:left="1985" w:hanging="567"/>
        <w:jc w:val="both"/>
        <w:rPr>
          <w:rFonts w:eastAsia="標楷體, 'DF Kai Shu'"/>
          <w:sz w:val="28"/>
          <w:szCs w:val="28"/>
        </w:rPr>
      </w:pPr>
      <w:r>
        <w:rPr>
          <w:rFonts w:eastAsia="標楷體, 'DF Kai Shu'"/>
          <w:sz w:val="28"/>
          <w:szCs w:val="28"/>
        </w:rPr>
        <w:t>依中等以上學校技藝技能優良學生甄審及保送入學辦法規定入學之學生：一年級、二年級以五十分為及格，三年級以後以六十分為及格。</w:t>
      </w:r>
    </w:p>
    <w:p w:rsidR="00386EF6" w:rsidRDefault="00042254">
      <w:pPr>
        <w:pStyle w:val="Default"/>
        <w:numPr>
          <w:ilvl w:val="0"/>
          <w:numId w:val="4"/>
        </w:numPr>
        <w:spacing w:line="460" w:lineRule="exact"/>
        <w:ind w:left="1985" w:hanging="567"/>
        <w:jc w:val="both"/>
        <w:rPr>
          <w:rFonts w:eastAsia="標楷體, 'DF Kai Shu'"/>
          <w:sz w:val="28"/>
          <w:szCs w:val="28"/>
        </w:rPr>
      </w:pPr>
      <w:r>
        <w:rPr>
          <w:rFonts w:eastAsia="標楷體, 'DF Kai Shu'"/>
          <w:sz w:val="28"/>
          <w:szCs w:val="28"/>
        </w:rPr>
        <w:t>依中等以上學校運動成績優良學生升學輔導辦法規定入學之</w:t>
      </w:r>
      <w:r>
        <w:rPr>
          <w:rFonts w:eastAsia="標楷體, 'DF Kai Shu'"/>
          <w:sz w:val="28"/>
          <w:szCs w:val="28"/>
        </w:rPr>
        <w:t>學生：一年級、二年級以四十分為及格，三年級以後以五十分為及格。</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 xml:space="preserve">　　　　　身心障礙學生之學業成績評量，應依特殊教育法相關規定辦理。</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t>第十條　　學生因其居住地區或就讀學校發生災害防救法第二條第一款所定災害或其他重大變故情形，學校認有調整前條所定學業成績及格基準之必要者，得擬具計畫，經各該特定科目教學研究委員會及行政會議通過後調整之，並妥為保存；其調整後之成績及格基準不得低於四十分。</w:t>
      </w:r>
    </w:p>
    <w:p w:rsidR="00386EF6" w:rsidRDefault="00042254">
      <w:pPr>
        <w:pStyle w:val="Standard"/>
        <w:spacing w:line="460" w:lineRule="exact"/>
        <w:ind w:left="840" w:hanging="840"/>
        <w:rPr>
          <w:rFonts w:eastAsia="標楷體, 'DF Kai Shu'"/>
          <w:sz w:val="28"/>
          <w:szCs w:val="28"/>
        </w:rPr>
      </w:pPr>
      <w:r>
        <w:rPr>
          <w:rFonts w:eastAsia="標楷體, 'DF Kai Shu'"/>
          <w:sz w:val="28"/>
          <w:szCs w:val="28"/>
        </w:rPr>
        <w:lastRenderedPageBreak/>
        <w:t xml:space="preserve">　　　　</w:t>
      </w:r>
      <w:r>
        <w:rPr>
          <w:rFonts w:ascii="標楷體, 'DF Kai Shu'" w:eastAsia="標楷體, 'DF Kai Shu'" w:hAnsi="標楷體, 'DF Kai Shu'" w:cs="標楷體, 'DF Kai Shu'"/>
          <w:sz w:val="28"/>
          <w:szCs w:val="28"/>
        </w:rPr>
        <w:t xml:space="preserve">　前項計畫之內容，應包括下列事項：</w:t>
      </w:r>
    </w:p>
    <w:p w:rsidR="00386EF6" w:rsidRDefault="00042254">
      <w:pPr>
        <w:pStyle w:val="a5"/>
        <w:numPr>
          <w:ilvl w:val="0"/>
          <w:numId w:val="16"/>
        </w:numPr>
        <w:tabs>
          <w:tab w:val="left" w:pos="2836"/>
        </w:tabs>
        <w:spacing w:line="460" w:lineRule="exact"/>
        <w:ind w:left="1985"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適用調整學業成績及格基準之學生姓名、學號、年級、科別、班級與適用學期及學年。</w:t>
      </w:r>
    </w:p>
    <w:p w:rsidR="00386EF6" w:rsidRDefault="00042254">
      <w:pPr>
        <w:pStyle w:val="a5"/>
        <w:numPr>
          <w:ilvl w:val="0"/>
          <w:numId w:val="3"/>
        </w:numPr>
        <w:tabs>
          <w:tab w:val="left" w:pos="2836"/>
        </w:tabs>
        <w:spacing w:line="460" w:lineRule="exact"/>
        <w:ind w:left="1985"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學年學業成績及格基準之調整情形。</w:t>
      </w:r>
    </w:p>
    <w:p w:rsidR="00386EF6" w:rsidRDefault="00042254">
      <w:pPr>
        <w:pStyle w:val="a5"/>
        <w:numPr>
          <w:ilvl w:val="0"/>
          <w:numId w:val="3"/>
        </w:numPr>
        <w:tabs>
          <w:tab w:val="left" w:pos="2836"/>
        </w:tabs>
        <w:spacing w:line="460" w:lineRule="exact"/>
        <w:ind w:left="1985"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學校已實施之多元評量執行策略及學生學習補救措施。</w:t>
      </w:r>
    </w:p>
    <w:p w:rsidR="00386EF6" w:rsidRDefault="00042254">
      <w:pPr>
        <w:pStyle w:val="a5"/>
        <w:numPr>
          <w:ilvl w:val="0"/>
          <w:numId w:val="3"/>
        </w:numPr>
        <w:tabs>
          <w:tab w:val="left" w:pos="2836"/>
        </w:tabs>
        <w:spacing w:line="460" w:lineRule="exact"/>
        <w:ind w:left="1985"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學生學習成就差異分析、學校學習評量調整方案及調整之必要性說明。</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第十一條　　學校採學年學時制，學生修畢各學年學業，成績符合下列各款規定之一者，准予升級：</w:t>
      </w:r>
    </w:p>
    <w:p w:rsidR="00386EF6" w:rsidRDefault="00042254">
      <w:pPr>
        <w:pStyle w:val="a5"/>
        <w:numPr>
          <w:ilvl w:val="0"/>
          <w:numId w:val="17"/>
        </w:numPr>
        <w:spacing w:line="460" w:lineRule="exact"/>
        <w:ind w:left="2211"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各科目學年學業成績均及格。</w:t>
      </w:r>
    </w:p>
    <w:p w:rsidR="00386EF6" w:rsidRDefault="00042254">
      <w:pPr>
        <w:pStyle w:val="a5"/>
        <w:numPr>
          <w:ilvl w:val="0"/>
          <w:numId w:val="14"/>
        </w:numPr>
        <w:spacing w:line="460" w:lineRule="exact"/>
        <w:ind w:left="2211"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學年學業成績符合下列各目情形：</w:t>
      </w:r>
    </w:p>
    <w:p w:rsidR="00386EF6" w:rsidRDefault="00042254">
      <w:pPr>
        <w:pStyle w:val="a5"/>
        <w:numPr>
          <w:ilvl w:val="0"/>
          <w:numId w:val="18"/>
        </w:numPr>
        <w:spacing w:line="460" w:lineRule="exact"/>
        <w:ind w:left="2721"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不及格科目每週修習節數之總和，未超過全部科目每週總修習節數二分之一，或不及格科目數未超過全部科目數二分之一。</w:t>
      </w:r>
    </w:p>
    <w:p w:rsidR="00386EF6" w:rsidRDefault="00042254">
      <w:pPr>
        <w:pStyle w:val="a5"/>
        <w:numPr>
          <w:ilvl w:val="0"/>
          <w:numId w:val="6"/>
        </w:numPr>
        <w:spacing w:line="460" w:lineRule="exact"/>
        <w:ind w:left="2721"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無任何科目之學年學業成績零分。</w:t>
      </w:r>
    </w:p>
    <w:p w:rsidR="00386EF6" w:rsidRDefault="00042254">
      <w:pPr>
        <w:pStyle w:val="a5"/>
        <w:numPr>
          <w:ilvl w:val="0"/>
          <w:numId w:val="6"/>
        </w:numPr>
        <w:spacing w:line="460" w:lineRule="exact"/>
        <w:ind w:left="2721"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學年學業成績總平均及格。</w:t>
      </w:r>
    </w:p>
    <w:p w:rsidR="00386EF6" w:rsidRDefault="00042254">
      <w:pPr>
        <w:pStyle w:val="Standard"/>
        <w:spacing w:line="460" w:lineRule="exact"/>
        <w:ind w:left="1120" w:hanging="1120"/>
      </w:pPr>
      <w:r>
        <w:rPr>
          <w:rFonts w:eastAsia="標楷體, 'DF Kai Shu'"/>
          <w:sz w:val="28"/>
          <w:szCs w:val="28"/>
        </w:rPr>
        <w:t>第十二條　　學生學年學業成績未符合前條升級規定者，其不及格科目應予補考，但零分科目除外。補考採多元評量方式，並以二次為限。</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 xml:space="preserve">　　　　　　前項補考科目，其補考所得之成績，達第九條或第十條所定及格基準者，依及格基準分數登錄；未達及格基準者，就原成績或補考成績擇優登錄。</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 xml:space="preserve">　　　　　　學生學年學業成績經補考仍未符合前條升級規定者，應重讀。</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第十三條　　學校應建置學生學習支援系統，並依日常及定期學業成績評量結果進行分析，作為學期中實施差異化教學及補救教學之依據，以輔導學生適性學習，發揮學生潛能；其實施基準及方式，由學</w:t>
      </w:r>
      <w:r>
        <w:rPr>
          <w:rFonts w:eastAsia="標楷體, 'DF Kai Shu'"/>
          <w:sz w:val="28"/>
          <w:szCs w:val="28"/>
        </w:rPr>
        <w:t>校定之。</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第十四條　　新生、轉學生入學前、轉科生轉科前及休學生復學前，已修習且成績及格之科目，經審查符合課程綱要要求，或經測驗</w:t>
      </w:r>
      <w:r>
        <w:rPr>
          <w:rFonts w:eastAsia="標楷體, 'DF Kai Shu'"/>
          <w:sz w:val="28"/>
          <w:szCs w:val="28"/>
        </w:rPr>
        <w:lastRenderedPageBreak/>
        <w:t>及格者，其科目成績，依原成績或測驗成績登錄。</w:t>
      </w:r>
      <w:r>
        <w:rPr>
          <w:rFonts w:eastAsia="標楷體, 'DF Kai Shu'"/>
          <w:sz w:val="28"/>
          <w:szCs w:val="28"/>
        </w:rPr>
        <w:br/>
      </w:r>
      <w:r>
        <w:rPr>
          <w:rFonts w:eastAsia="標楷體, 'DF Kai Shu'"/>
          <w:sz w:val="28"/>
          <w:szCs w:val="28"/>
        </w:rPr>
        <w:t xml:space="preserve">　　前項審查、測驗及科目抵免規定，由學校定之。</w:t>
      </w:r>
      <w:r>
        <w:rPr>
          <w:rFonts w:eastAsia="標楷體, 'DF Kai Shu'"/>
          <w:sz w:val="28"/>
          <w:szCs w:val="28"/>
        </w:rPr>
        <w:br/>
      </w:r>
      <w:r>
        <w:rPr>
          <w:rFonts w:eastAsia="標楷體, 'DF Kai Shu'"/>
          <w:sz w:val="28"/>
          <w:szCs w:val="28"/>
        </w:rPr>
        <w:t xml:space="preserve">　　學校應視第一項轉學生、轉科生審查或測驗結果，編入適當之年級、科班就讀。</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第十五條　　學生取得依高級中等學校辦理學生國外學歷採認辦法規定採認之國外學歷，其在國外所修之科目成績，經學校審查符合課程綱要要求，或經測驗及格者，得採計成績，其科目並得列抵免修。</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 xml:space="preserve">　　　　　　學生經學校核准後，赴國內</w:t>
      </w:r>
      <w:r>
        <w:rPr>
          <w:rFonts w:eastAsia="標楷體, 'DF Kai Shu'"/>
          <w:sz w:val="28"/>
          <w:szCs w:val="28"/>
        </w:rPr>
        <w:t>、外公民營事業機構職場或就業導向之職訓機構等場所進修、訓練、實習或學習，取得學習成就或教育訓練證明，經學校審查符合課程綱要要求者，得採計成績，其科目並得列抵免修。</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 xml:space="preserve">　　　　　　學校辦理前二項學生學歷、成績證明、學習成就或教育訓練之審查、測驗、成績採計及赴國外高級中等以上學校學習期間之認定，應依相關法規規定為之。</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第十六條　　學校得協調國內其他高級中等學校開設跨校選修之課程，並得與大專校院合作開設預修課程或選修課程；其課程得採數位遠距教學。</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第十七條　　德行評量，依學生行為事實作綜合評量，不評定分數及等第。</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 xml:space="preserve">　　　　　　德行評量項目如下：</w:t>
      </w:r>
    </w:p>
    <w:p w:rsidR="00386EF6" w:rsidRDefault="00042254">
      <w:pPr>
        <w:pStyle w:val="a5"/>
        <w:numPr>
          <w:ilvl w:val="0"/>
          <w:numId w:val="19"/>
        </w:numPr>
        <w:spacing w:line="460" w:lineRule="exact"/>
        <w:ind w:left="2268"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日常生活綜合表現及校內外特殊表現。</w:t>
      </w:r>
    </w:p>
    <w:p w:rsidR="00386EF6" w:rsidRDefault="00042254">
      <w:pPr>
        <w:pStyle w:val="a5"/>
        <w:numPr>
          <w:ilvl w:val="0"/>
          <w:numId w:val="5"/>
        </w:numPr>
        <w:spacing w:line="460" w:lineRule="exact"/>
        <w:ind w:left="2268"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服務學習。</w:t>
      </w:r>
    </w:p>
    <w:p w:rsidR="00386EF6" w:rsidRDefault="00042254">
      <w:pPr>
        <w:pStyle w:val="a5"/>
        <w:numPr>
          <w:ilvl w:val="0"/>
          <w:numId w:val="5"/>
        </w:numPr>
        <w:spacing w:line="460" w:lineRule="exact"/>
        <w:ind w:left="2268"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獎懲紀錄。</w:t>
      </w:r>
    </w:p>
    <w:p w:rsidR="00386EF6" w:rsidRDefault="00042254">
      <w:pPr>
        <w:pStyle w:val="a5"/>
        <w:numPr>
          <w:ilvl w:val="0"/>
          <w:numId w:val="5"/>
        </w:numPr>
        <w:spacing w:line="460" w:lineRule="exact"/>
        <w:ind w:left="2268"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出缺席紀錄。</w:t>
      </w:r>
    </w:p>
    <w:p w:rsidR="00386EF6" w:rsidRDefault="00042254">
      <w:pPr>
        <w:pStyle w:val="a5"/>
        <w:numPr>
          <w:ilvl w:val="0"/>
          <w:numId w:val="5"/>
        </w:numPr>
        <w:spacing w:line="460" w:lineRule="exact"/>
        <w:ind w:left="2268"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具體建議。</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第十八條　　德行評量以學期為階段，由導師依前條第二項各款規定，參考各科目任課教師及相關行政單位提供之意見，依行為事實記錄，並視需要提出具體建議，經學生事務相關會議審議後，作為學生適性輔導及其他適性教育處置之依據。</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lastRenderedPageBreak/>
        <w:t>第十九條　　德行評量之獎懲，依下列規定辦理：</w:t>
      </w:r>
    </w:p>
    <w:p w:rsidR="00386EF6" w:rsidRDefault="00042254">
      <w:pPr>
        <w:pStyle w:val="a5"/>
        <w:numPr>
          <w:ilvl w:val="0"/>
          <w:numId w:val="20"/>
        </w:numPr>
        <w:spacing w:line="460" w:lineRule="exact"/>
        <w:ind w:left="2268"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獎勵：分為嘉獎、小功及大功。</w:t>
      </w:r>
    </w:p>
    <w:p w:rsidR="00386EF6" w:rsidRDefault="00042254">
      <w:pPr>
        <w:pStyle w:val="a5"/>
        <w:numPr>
          <w:ilvl w:val="0"/>
          <w:numId w:val="8"/>
        </w:numPr>
        <w:spacing w:line="460" w:lineRule="exact"/>
        <w:ind w:left="2268"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懲處：分為警告、小過及大過。</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 xml:space="preserve">　　　　　　學生之獎懲，應通知學生、導師、家長或監護人，並於學期結束時列入德行評量。</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 xml:space="preserve">　　　　　　第一項之獎懲項目、事由、程序、獎懲相抵及銷過之相關規定，由學校定之。</w:t>
      </w:r>
    </w:p>
    <w:p w:rsidR="00386EF6" w:rsidRDefault="00042254">
      <w:pPr>
        <w:pStyle w:val="Standard"/>
        <w:spacing w:line="460" w:lineRule="exact"/>
        <w:ind w:left="1120" w:hanging="1120"/>
        <w:rPr>
          <w:rFonts w:eastAsia="標楷體, 'DF Kai Shu'"/>
          <w:sz w:val="28"/>
          <w:szCs w:val="28"/>
        </w:rPr>
      </w:pPr>
      <w:r>
        <w:rPr>
          <w:rFonts w:eastAsia="標楷體, 'DF Kai Shu'"/>
          <w:sz w:val="28"/>
          <w:szCs w:val="28"/>
        </w:rPr>
        <w:t>第二十條　　學生請假別，分為公假、事假、病假、婚假、產前假、娩假、陪產假、流產假、育嬰假、生理假及喪假；其請假規定，由學校定之。</w:t>
      </w:r>
      <w:r>
        <w:rPr>
          <w:rFonts w:eastAsia="標楷體, 'DF Kai Shu'"/>
          <w:sz w:val="28"/>
          <w:szCs w:val="28"/>
        </w:rPr>
        <w:br/>
      </w:r>
      <w:r>
        <w:rPr>
          <w:rFonts w:eastAsia="標楷體, 'DF Kai Shu'"/>
          <w:sz w:val="28"/>
          <w:szCs w:val="28"/>
        </w:rPr>
        <w:t xml:space="preserve">　　學生缺課未經學校依請假規定核准給假者，為曠課。</w:t>
      </w:r>
      <w:r>
        <w:rPr>
          <w:rFonts w:eastAsia="標楷體, 'DF Kai Shu'"/>
          <w:sz w:val="28"/>
          <w:szCs w:val="28"/>
        </w:rPr>
        <w:br/>
      </w:r>
      <w:r>
        <w:rPr>
          <w:rFonts w:eastAsia="標楷體, 'DF Kai Shu'"/>
          <w:sz w:val="28"/>
          <w:szCs w:val="28"/>
        </w:rPr>
        <w:t xml:space="preserve">　　德行評量之出缺席紀錄，依學生請假規定辦理。</w:t>
      </w:r>
    </w:p>
    <w:p w:rsidR="00386EF6" w:rsidRDefault="00042254">
      <w:pPr>
        <w:pStyle w:val="Standard"/>
        <w:spacing w:line="460" w:lineRule="exact"/>
        <w:ind w:left="1400" w:hanging="1400"/>
        <w:jc w:val="both"/>
        <w:rPr>
          <w:rFonts w:eastAsia="標楷體, 'DF Kai Shu'"/>
          <w:sz w:val="28"/>
          <w:szCs w:val="28"/>
        </w:rPr>
      </w:pPr>
      <w:r>
        <w:rPr>
          <w:rFonts w:eastAsia="標楷體, 'DF Kai Shu'"/>
          <w:sz w:val="28"/>
          <w:szCs w:val="28"/>
        </w:rPr>
        <w:t>第二十一條　　學生曠課及事假之缺課節數合計達該科目全學期修習總節數三分之一者，該科目學期學業成績以零分計算。但因學</w:t>
      </w:r>
      <w:r>
        <w:rPr>
          <w:rFonts w:eastAsia="標楷體, 'DF Kai Shu'"/>
          <w:sz w:val="28"/>
          <w:szCs w:val="28"/>
        </w:rPr>
        <w:t>生或其家庭發生重大變故所請事假而缺課之節數，經提學生事務相關會議通過後，得不納入計算。</w:t>
      </w:r>
      <w:r>
        <w:rPr>
          <w:rFonts w:eastAsia="標楷體, 'DF Kai Shu'"/>
          <w:sz w:val="28"/>
          <w:szCs w:val="28"/>
        </w:rPr>
        <w:br/>
      </w:r>
      <w:r>
        <w:rPr>
          <w:rFonts w:eastAsia="標楷體, 'DF Kai Shu'"/>
          <w:sz w:val="28"/>
          <w:szCs w:val="28"/>
        </w:rPr>
        <w:t xml:space="preserve">　　學生缺課致影響課業時，學校應視其情形提供預警措施，並給予個別輔導。</w:t>
      </w:r>
    </w:p>
    <w:p w:rsidR="00386EF6" w:rsidRDefault="00042254">
      <w:pPr>
        <w:pStyle w:val="Standard"/>
        <w:spacing w:line="460" w:lineRule="exact"/>
        <w:ind w:left="1400" w:hanging="1400"/>
        <w:jc w:val="both"/>
        <w:rPr>
          <w:rFonts w:eastAsia="標楷體, 'DF Kai Shu'"/>
          <w:sz w:val="28"/>
          <w:szCs w:val="28"/>
        </w:rPr>
      </w:pPr>
      <w:r>
        <w:rPr>
          <w:rFonts w:eastAsia="標楷體, 'DF Kai Shu'"/>
          <w:sz w:val="28"/>
          <w:szCs w:val="28"/>
        </w:rPr>
        <w:t>第二十二條　　學生除公假外，全學期缺課節數達修習總節數二分之一，或曠課累積達三十六節者，經提學生事務相關會議後，應依法令規定進行適性輔導及適性教育處置。</w:t>
      </w:r>
    </w:p>
    <w:p w:rsidR="00386EF6" w:rsidRDefault="00042254">
      <w:pPr>
        <w:pStyle w:val="Standard"/>
        <w:spacing w:line="460" w:lineRule="exact"/>
        <w:ind w:left="1400" w:hanging="1400"/>
        <w:jc w:val="both"/>
        <w:rPr>
          <w:rFonts w:eastAsia="標楷體, 'DF Kai Shu'"/>
          <w:sz w:val="28"/>
          <w:szCs w:val="28"/>
        </w:rPr>
      </w:pPr>
      <w:r>
        <w:rPr>
          <w:rFonts w:eastAsia="標楷體, 'DF Kai Shu'"/>
          <w:sz w:val="28"/>
          <w:szCs w:val="28"/>
        </w:rPr>
        <w:t>第二十三條　　學生學習評量結果，依下列規定處理：</w:t>
      </w:r>
    </w:p>
    <w:p w:rsidR="00386EF6" w:rsidRDefault="00042254">
      <w:pPr>
        <w:pStyle w:val="a5"/>
        <w:numPr>
          <w:ilvl w:val="0"/>
          <w:numId w:val="21"/>
        </w:numPr>
        <w:spacing w:line="460" w:lineRule="exact"/>
        <w:ind w:left="2552"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符合下列情形者，准予畢業，並發給畢業證書：</w:t>
      </w:r>
    </w:p>
    <w:p w:rsidR="00386EF6" w:rsidRDefault="00042254">
      <w:pPr>
        <w:pStyle w:val="a5"/>
        <w:numPr>
          <w:ilvl w:val="0"/>
          <w:numId w:val="22"/>
        </w:numPr>
        <w:spacing w:line="460" w:lineRule="exact"/>
        <w:ind w:left="2977"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修業期滿，且各學年學業成績符合第十一條規定。</w:t>
      </w:r>
    </w:p>
    <w:p w:rsidR="00386EF6" w:rsidRDefault="00042254">
      <w:pPr>
        <w:pStyle w:val="a5"/>
        <w:numPr>
          <w:ilvl w:val="0"/>
          <w:numId w:val="10"/>
        </w:numPr>
        <w:spacing w:line="460" w:lineRule="exact"/>
        <w:ind w:left="2977"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修業期間德行評量之獎懲紀錄相抵後，未滿三大過。</w:t>
      </w:r>
    </w:p>
    <w:p w:rsidR="00386EF6" w:rsidRDefault="00042254">
      <w:pPr>
        <w:pStyle w:val="a5"/>
        <w:numPr>
          <w:ilvl w:val="0"/>
          <w:numId w:val="11"/>
        </w:numPr>
        <w:spacing w:line="460" w:lineRule="exact"/>
        <w:ind w:left="2552" w:hanging="567"/>
        <w:jc w:val="both"/>
        <w:rPr>
          <w:rFonts w:ascii="標楷體, 'DF Kai Shu'" w:eastAsia="標楷體, 'DF Kai Shu'" w:hAnsi="標楷體, 'DF Kai Shu'" w:cs="標楷體, 'DF Kai Shu'"/>
          <w:sz w:val="28"/>
          <w:szCs w:val="28"/>
        </w:rPr>
      </w:pPr>
      <w:r>
        <w:rPr>
          <w:rFonts w:ascii="標楷體, 'DF Kai Shu'" w:eastAsia="標楷體, 'DF Kai Shu'" w:hAnsi="標楷體, 'DF Kai Shu'" w:cs="標楷體, 'DF Kai Shu'"/>
          <w:sz w:val="28"/>
          <w:szCs w:val="28"/>
        </w:rPr>
        <w:t>修業期滿，而學習評量結果未符合前款規定者，發給修業證明書。</w:t>
      </w:r>
    </w:p>
    <w:p w:rsidR="00386EF6" w:rsidRDefault="00042254">
      <w:pPr>
        <w:pStyle w:val="Standard"/>
        <w:spacing w:line="460" w:lineRule="exact"/>
        <w:ind w:left="1400" w:hanging="1400"/>
        <w:jc w:val="both"/>
        <w:rPr>
          <w:rFonts w:eastAsia="標楷體, 'DF Kai Shu'"/>
          <w:sz w:val="28"/>
          <w:szCs w:val="28"/>
        </w:rPr>
      </w:pPr>
      <w:r>
        <w:rPr>
          <w:rFonts w:eastAsia="標楷體, 'DF Kai Shu'"/>
          <w:sz w:val="28"/>
          <w:szCs w:val="28"/>
        </w:rPr>
        <w:t>第二十四條　　學生學習評量之結果，應妥為保存及管理，並維護個人</w:t>
      </w:r>
      <w:r>
        <w:rPr>
          <w:rFonts w:eastAsia="標楷體, 'DF Kai Shu'"/>
          <w:sz w:val="28"/>
          <w:szCs w:val="28"/>
        </w:rPr>
        <w:lastRenderedPageBreak/>
        <w:t>隱私及權益；其評量資料之蒐集、處理及利用，應依個人資料保護法及其相關法規之規定辦理。</w:t>
      </w:r>
    </w:p>
    <w:p w:rsidR="00386EF6" w:rsidRDefault="00042254">
      <w:pPr>
        <w:pStyle w:val="Standard"/>
        <w:spacing w:line="460" w:lineRule="exact"/>
        <w:ind w:left="1400" w:hanging="1400"/>
        <w:jc w:val="both"/>
      </w:pPr>
      <w:r>
        <w:rPr>
          <w:rFonts w:eastAsia="標楷體, 'DF Kai Shu'"/>
          <w:sz w:val="28"/>
          <w:szCs w:val="28"/>
        </w:rPr>
        <w:t>第二十五條　　學校依本辦法規定訂定之學生學習評量補充規定，應經校務會議通過後實施。</w:t>
      </w:r>
    </w:p>
    <w:p w:rsidR="00386EF6" w:rsidRDefault="00042254">
      <w:pPr>
        <w:pStyle w:val="Standard"/>
        <w:spacing w:line="460" w:lineRule="exact"/>
        <w:ind w:left="1400" w:hanging="1400"/>
        <w:jc w:val="both"/>
        <w:rPr>
          <w:rFonts w:eastAsia="標楷體, 'DF Kai Shu'"/>
          <w:sz w:val="28"/>
          <w:szCs w:val="28"/>
        </w:rPr>
      </w:pPr>
      <w:r>
        <w:rPr>
          <w:rFonts w:eastAsia="標楷體, 'DF Kai Shu'"/>
          <w:sz w:val="28"/>
          <w:szCs w:val="28"/>
        </w:rPr>
        <w:t>第二十六條　　獨立設立或大學校院附設之高級中等進修學校，其學生學習評量，適用本辦法之規定。</w:t>
      </w:r>
    </w:p>
    <w:p w:rsidR="00386EF6" w:rsidRDefault="00042254">
      <w:pPr>
        <w:pStyle w:val="Standard"/>
        <w:spacing w:line="460" w:lineRule="exact"/>
        <w:ind w:left="1400" w:hanging="1400"/>
        <w:jc w:val="both"/>
        <w:rPr>
          <w:rFonts w:eastAsia="標楷體, 'DF Kai Shu'"/>
          <w:sz w:val="28"/>
          <w:szCs w:val="28"/>
        </w:rPr>
      </w:pPr>
      <w:r>
        <w:rPr>
          <w:rFonts w:eastAsia="標楷體, 'DF Kai Shu'"/>
          <w:sz w:val="28"/>
          <w:szCs w:val="28"/>
        </w:rPr>
        <w:t>第二十七條　　本辦法自中華民國一百零八年八月一日施行。</w:t>
      </w:r>
    </w:p>
    <w:sectPr w:rsidR="00386EF6">
      <w:pgSz w:w="11906" w:h="16838"/>
      <w:pgMar w:top="1418" w:right="1418" w:bottom="1418"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254" w:rsidRDefault="00042254">
      <w:pPr>
        <w:rPr>
          <w:rFonts w:hint="eastAsia"/>
        </w:rPr>
      </w:pPr>
      <w:r>
        <w:separator/>
      </w:r>
    </w:p>
  </w:endnote>
  <w:endnote w:type="continuationSeparator" w:id="0">
    <w:p w:rsidR="00042254" w:rsidRDefault="000422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DF Kai Shu'">
    <w:altName w:val="Ink Free"/>
    <w:charset w:val="00"/>
    <w:family w:val="script"/>
    <w:pitch w:val="default"/>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auto"/>
    <w:pitch w:val="variable"/>
  </w:font>
  <w:font w:name="Calibri">
    <w:panose1 w:val="020F0502020204030204"/>
    <w:charset w:val="00"/>
    <w:family w:val="swiss"/>
    <w:pitch w:val="variable"/>
    <w:sig w:usb0="E00002FF" w:usb1="4000ACFF" w:usb2="00000001" w:usb3="00000000" w:csb0="0000019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254" w:rsidRDefault="00042254">
      <w:pPr>
        <w:rPr>
          <w:rFonts w:hint="eastAsia"/>
        </w:rPr>
      </w:pPr>
      <w:r>
        <w:rPr>
          <w:color w:val="000000"/>
        </w:rPr>
        <w:separator/>
      </w:r>
    </w:p>
  </w:footnote>
  <w:footnote w:type="continuationSeparator" w:id="0">
    <w:p w:rsidR="00042254" w:rsidRDefault="0004225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38B3"/>
    <w:multiLevelType w:val="multilevel"/>
    <w:tmpl w:val="F7F29204"/>
    <w:styleLink w:val="WW8Num1"/>
    <w:lvl w:ilvl="0">
      <w:start w:val="1"/>
      <w:numFmt w:val="japaneseCounting"/>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 w15:restartNumberingAfterBreak="0">
    <w:nsid w:val="129E6050"/>
    <w:multiLevelType w:val="multilevel"/>
    <w:tmpl w:val="35EE46F4"/>
    <w:styleLink w:val="WW8Num14"/>
    <w:lvl w:ilvl="0">
      <w:start w:val="1"/>
      <w:numFmt w:val="japaneseCounting"/>
      <w:lvlText w:val="%1、"/>
      <w:lvlJc w:val="left"/>
      <w:pPr>
        <w:ind w:left="1897" w:hanging="480"/>
      </w:pPr>
      <w:rPr>
        <w:rFonts w:ascii="標楷體, 'DF Kai Shu'" w:eastAsia="標楷體, 'DF Kai Shu'" w:hAnsi="標楷體, 'DF Kai Shu'" w:cs="標楷體, 'DF Kai Shu'"/>
        <w:color w:val="000000"/>
        <w:sz w:val="28"/>
        <w:szCs w:val="28"/>
      </w:r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2" w15:restartNumberingAfterBreak="0">
    <w:nsid w:val="1B51396C"/>
    <w:multiLevelType w:val="multilevel"/>
    <w:tmpl w:val="5510BDB8"/>
    <w:styleLink w:val="WW8Num2"/>
    <w:lvl w:ilvl="0">
      <w:start w:val="1"/>
      <w:numFmt w:val="japaneseCounting"/>
      <w:lvlText w:val="%1、"/>
      <w:lvlJc w:val="left"/>
      <w:pPr>
        <w:ind w:left="1838" w:hanging="4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22834223"/>
    <w:multiLevelType w:val="multilevel"/>
    <w:tmpl w:val="D80CD5A4"/>
    <w:styleLink w:val="WW8Num9"/>
    <w:lvl w:ilvl="0">
      <w:start w:val="1"/>
      <w:numFmt w:val="japaneseCounting"/>
      <w:lvlText w:val="%1、"/>
      <w:lvlJc w:val="left"/>
      <w:pPr>
        <w:ind w:left="1898" w:hanging="480"/>
      </w:pPr>
      <w:rPr>
        <w:color w:val="00000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 w15:restartNumberingAfterBreak="0">
    <w:nsid w:val="371F701D"/>
    <w:multiLevelType w:val="multilevel"/>
    <w:tmpl w:val="AD3429B0"/>
    <w:styleLink w:val="WW8Num10"/>
    <w:lvl w:ilvl="0">
      <w:start w:val="1"/>
      <w:numFmt w:val="japaneseCounting"/>
      <w:lvlText w:val="(%1)"/>
      <w:lvlJc w:val="left"/>
      <w:pPr>
        <w:ind w:left="3315" w:hanging="480"/>
      </w:pPr>
    </w:lvl>
    <w:lvl w:ilvl="1">
      <w:start w:val="1"/>
      <w:numFmt w:val="ideographTraditional"/>
      <w:lvlText w:val="%2、"/>
      <w:lvlJc w:val="left"/>
      <w:pPr>
        <w:ind w:left="4362" w:hanging="480"/>
      </w:pPr>
    </w:lvl>
    <w:lvl w:ilvl="2">
      <w:start w:val="1"/>
      <w:numFmt w:val="lowerRoman"/>
      <w:lvlText w:val="%3."/>
      <w:lvlJc w:val="right"/>
      <w:pPr>
        <w:ind w:left="4842" w:hanging="480"/>
      </w:pPr>
    </w:lvl>
    <w:lvl w:ilvl="3">
      <w:start w:val="1"/>
      <w:numFmt w:val="decimal"/>
      <w:lvlText w:val="%4."/>
      <w:lvlJc w:val="left"/>
      <w:pPr>
        <w:ind w:left="5322" w:hanging="480"/>
      </w:pPr>
    </w:lvl>
    <w:lvl w:ilvl="4">
      <w:start w:val="1"/>
      <w:numFmt w:val="ideographTraditional"/>
      <w:lvlText w:val="%5、"/>
      <w:lvlJc w:val="left"/>
      <w:pPr>
        <w:ind w:left="5802" w:hanging="480"/>
      </w:pPr>
    </w:lvl>
    <w:lvl w:ilvl="5">
      <w:start w:val="1"/>
      <w:numFmt w:val="lowerRoman"/>
      <w:lvlText w:val="%6."/>
      <w:lvlJc w:val="right"/>
      <w:pPr>
        <w:ind w:left="6282" w:hanging="480"/>
      </w:pPr>
    </w:lvl>
    <w:lvl w:ilvl="6">
      <w:start w:val="1"/>
      <w:numFmt w:val="decimal"/>
      <w:lvlText w:val="%7."/>
      <w:lvlJc w:val="left"/>
      <w:pPr>
        <w:ind w:left="6762" w:hanging="480"/>
      </w:pPr>
    </w:lvl>
    <w:lvl w:ilvl="7">
      <w:start w:val="1"/>
      <w:numFmt w:val="ideographTraditional"/>
      <w:lvlText w:val="%8、"/>
      <w:lvlJc w:val="left"/>
      <w:pPr>
        <w:ind w:left="7242" w:hanging="480"/>
      </w:pPr>
    </w:lvl>
    <w:lvl w:ilvl="8">
      <w:start w:val="1"/>
      <w:numFmt w:val="lowerRoman"/>
      <w:lvlText w:val="%9."/>
      <w:lvlJc w:val="right"/>
      <w:pPr>
        <w:ind w:left="7722" w:hanging="480"/>
      </w:pPr>
    </w:lvl>
  </w:abstractNum>
  <w:abstractNum w:abstractNumId="5" w15:restartNumberingAfterBreak="0">
    <w:nsid w:val="381F43B2"/>
    <w:multiLevelType w:val="multilevel"/>
    <w:tmpl w:val="7C3A483C"/>
    <w:styleLink w:val="WW8Num12"/>
    <w:lvl w:ilvl="0">
      <w:start w:val="1"/>
      <w:numFmt w:val="japaneseCounting"/>
      <w:lvlText w:val="%1、"/>
      <w:lvlJc w:val="left"/>
      <w:pPr>
        <w:ind w:left="1898" w:hanging="480"/>
      </w:pPr>
      <w:rPr>
        <w:lang w:val="en-US"/>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 w15:restartNumberingAfterBreak="0">
    <w:nsid w:val="44831431"/>
    <w:multiLevelType w:val="multilevel"/>
    <w:tmpl w:val="9496DA9A"/>
    <w:styleLink w:val="WW8Num6"/>
    <w:lvl w:ilvl="0">
      <w:start w:val="1"/>
      <w:numFmt w:val="japaneseCounting"/>
      <w:lvlText w:val="(%1)"/>
      <w:lvlJc w:val="left"/>
      <w:pPr>
        <w:ind w:left="3315" w:hanging="480"/>
      </w:pPr>
    </w:lvl>
    <w:lvl w:ilvl="1">
      <w:start w:val="1"/>
      <w:numFmt w:val="ideographTraditional"/>
      <w:lvlText w:val="%2、"/>
      <w:lvlJc w:val="left"/>
      <w:pPr>
        <w:ind w:left="4362" w:hanging="480"/>
      </w:pPr>
    </w:lvl>
    <w:lvl w:ilvl="2">
      <w:start w:val="1"/>
      <w:numFmt w:val="lowerRoman"/>
      <w:lvlText w:val="%3."/>
      <w:lvlJc w:val="right"/>
      <w:pPr>
        <w:ind w:left="4842" w:hanging="480"/>
      </w:pPr>
    </w:lvl>
    <w:lvl w:ilvl="3">
      <w:start w:val="1"/>
      <w:numFmt w:val="decimal"/>
      <w:lvlText w:val="%4."/>
      <w:lvlJc w:val="left"/>
      <w:pPr>
        <w:ind w:left="5322" w:hanging="480"/>
      </w:pPr>
    </w:lvl>
    <w:lvl w:ilvl="4">
      <w:start w:val="1"/>
      <w:numFmt w:val="ideographTraditional"/>
      <w:lvlText w:val="%5、"/>
      <w:lvlJc w:val="left"/>
      <w:pPr>
        <w:ind w:left="5802" w:hanging="480"/>
      </w:pPr>
    </w:lvl>
    <w:lvl w:ilvl="5">
      <w:start w:val="1"/>
      <w:numFmt w:val="lowerRoman"/>
      <w:lvlText w:val="%6."/>
      <w:lvlJc w:val="right"/>
      <w:pPr>
        <w:ind w:left="6282" w:hanging="480"/>
      </w:pPr>
    </w:lvl>
    <w:lvl w:ilvl="6">
      <w:start w:val="1"/>
      <w:numFmt w:val="decimal"/>
      <w:lvlText w:val="%7."/>
      <w:lvlJc w:val="left"/>
      <w:pPr>
        <w:ind w:left="6762" w:hanging="480"/>
      </w:pPr>
    </w:lvl>
    <w:lvl w:ilvl="7">
      <w:start w:val="1"/>
      <w:numFmt w:val="ideographTraditional"/>
      <w:lvlText w:val="%8、"/>
      <w:lvlJc w:val="left"/>
      <w:pPr>
        <w:ind w:left="7242" w:hanging="480"/>
      </w:pPr>
    </w:lvl>
    <w:lvl w:ilvl="8">
      <w:start w:val="1"/>
      <w:numFmt w:val="lowerRoman"/>
      <w:lvlText w:val="%9."/>
      <w:lvlJc w:val="right"/>
      <w:pPr>
        <w:ind w:left="7722" w:hanging="480"/>
      </w:pPr>
    </w:lvl>
  </w:abstractNum>
  <w:abstractNum w:abstractNumId="7" w15:restartNumberingAfterBreak="0">
    <w:nsid w:val="462546D1"/>
    <w:multiLevelType w:val="multilevel"/>
    <w:tmpl w:val="EADC9D56"/>
    <w:styleLink w:val="WW8Num5"/>
    <w:lvl w:ilvl="0">
      <w:start w:val="1"/>
      <w:numFmt w:val="japaneseCounting"/>
      <w:lvlText w:val="%1、"/>
      <w:lvlJc w:val="left"/>
      <w:pPr>
        <w:ind w:left="2181" w:hanging="480"/>
      </w:pPr>
      <w:rPr>
        <w:lang w:val="en-US"/>
      </w:r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8" w15:restartNumberingAfterBreak="0">
    <w:nsid w:val="4BA2563B"/>
    <w:multiLevelType w:val="multilevel"/>
    <w:tmpl w:val="9A8218BC"/>
    <w:styleLink w:val="WW8Num13"/>
    <w:lvl w:ilvl="0">
      <w:start w:val="1"/>
      <w:numFmt w:val="japaneseCounting"/>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5EEA7823"/>
    <w:multiLevelType w:val="multilevel"/>
    <w:tmpl w:val="3DEC190E"/>
    <w:styleLink w:val="WW8Num4"/>
    <w:lvl w:ilvl="0">
      <w:start w:val="1"/>
      <w:numFmt w:val="japaneseCounting"/>
      <w:lvlText w:val="%1、"/>
      <w:lvlJc w:val="left"/>
      <w:pPr>
        <w:ind w:left="1330" w:hanging="480"/>
      </w:pPr>
      <w:rPr>
        <w:rFonts w:eastAsia="標楷體, 'DF Kai Shu'"/>
        <w:color w:val="000000"/>
        <w:sz w:val="28"/>
        <w:szCs w:val="28"/>
      </w:r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abstractNum w:abstractNumId="10" w15:restartNumberingAfterBreak="0">
    <w:nsid w:val="61D500D6"/>
    <w:multiLevelType w:val="multilevel"/>
    <w:tmpl w:val="62FE2D76"/>
    <w:styleLink w:val="WW8Num11"/>
    <w:lvl w:ilvl="0">
      <w:start w:val="1"/>
      <w:numFmt w:val="japaneseCounting"/>
      <w:lvlText w:val="%1、"/>
      <w:lvlJc w:val="left"/>
      <w:pPr>
        <w:ind w:left="2181" w:hanging="480"/>
      </w:pPr>
      <w:rPr>
        <w:rFonts w:ascii="標楷體, 'DF Kai Shu'" w:eastAsia="標楷體, 'DF Kai Shu'" w:hAnsi="標楷體, 'DF Kai Shu'" w:cs="標楷體, 'DF Kai Shu'"/>
        <w:sz w:val="28"/>
        <w:szCs w:val="28"/>
      </w:r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11" w15:restartNumberingAfterBreak="0">
    <w:nsid w:val="65E421F7"/>
    <w:multiLevelType w:val="multilevel"/>
    <w:tmpl w:val="7DDE0E2C"/>
    <w:styleLink w:val="WW8Num7"/>
    <w:lvl w:ilvl="0">
      <w:start w:val="1"/>
      <w:numFmt w:val="japaneseCounting"/>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6F167096"/>
    <w:multiLevelType w:val="multilevel"/>
    <w:tmpl w:val="F9FE1534"/>
    <w:styleLink w:val="WW8Num3"/>
    <w:lvl w:ilvl="0">
      <w:start w:val="1"/>
      <w:numFmt w:val="japaneseCounting"/>
      <w:lvlText w:val="%1、"/>
      <w:lvlJc w:val="left"/>
      <w:pPr>
        <w:ind w:left="1614" w:hanging="480"/>
      </w:pPr>
      <w:rPr>
        <w:color w:val="000000"/>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3" w15:restartNumberingAfterBreak="0">
    <w:nsid w:val="7D9C2F0D"/>
    <w:multiLevelType w:val="multilevel"/>
    <w:tmpl w:val="9F422B08"/>
    <w:styleLink w:val="WW8Num8"/>
    <w:lvl w:ilvl="0">
      <w:start w:val="1"/>
      <w:numFmt w:val="japaneseCounting"/>
      <w:lvlText w:val="%1、"/>
      <w:lvlJc w:val="left"/>
      <w:pPr>
        <w:ind w:left="2181" w:hanging="48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num w:numId="1">
    <w:abstractNumId w:val="0"/>
  </w:num>
  <w:num w:numId="2">
    <w:abstractNumId w:val="2"/>
  </w:num>
  <w:num w:numId="3">
    <w:abstractNumId w:val="12"/>
  </w:num>
  <w:num w:numId="4">
    <w:abstractNumId w:val="9"/>
  </w:num>
  <w:num w:numId="5">
    <w:abstractNumId w:val="7"/>
  </w:num>
  <w:num w:numId="6">
    <w:abstractNumId w:val="6"/>
  </w:num>
  <w:num w:numId="7">
    <w:abstractNumId w:val="11"/>
  </w:num>
  <w:num w:numId="8">
    <w:abstractNumId w:val="13"/>
  </w:num>
  <w:num w:numId="9">
    <w:abstractNumId w:val="3"/>
  </w:num>
  <w:num w:numId="10">
    <w:abstractNumId w:val="4"/>
  </w:num>
  <w:num w:numId="11">
    <w:abstractNumId w:val="10"/>
  </w:num>
  <w:num w:numId="12">
    <w:abstractNumId w:val="5"/>
  </w:num>
  <w:num w:numId="13">
    <w:abstractNumId w:val="8"/>
  </w:num>
  <w:num w:numId="14">
    <w:abstractNumId w:val="1"/>
  </w:num>
  <w:num w:numId="15">
    <w:abstractNumId w:val="9"/>
    <w:lvlOverride w:ilvl="0">
      <w:startOverride w:val="1"/>
    </w:lvlOverride>
  </w:num>
  <w:num w:numId="16">
    <w:abstractNumId w:val="12"/>
    <w:lvlOverride w:ilvl="0">
      <w:startOverride w:val="1"/>
    </w:lvlOverride>
  </w:num>
  <w:num w:numId="17">
    <w:abstractNumId w:val="1"/>
    <w:lvlOverride w:ilvl="0">
      <w:startOverride w:val="1"/>
    </w:lvlOverride>
  </w:num>
  <w:num w:numId="18">
    <w:abstractNumId w:val="6"/>
    <w:lvlOverride w:ilvl="0">
      <w:startOverride w:val="1"/>
    </w:lvlOverride>
  </w:num>
  <w:num w:numId="19">
    <w:abstractNumId w:val="7"/>
    <w:lvlOverride w:ilvl="0">
      <w:startOverride w:val="1"/>
    </w:lvlOverride>
  </w:num>
  <w:num w:numId="20">
    <w:abstractNumId w:val="13"/>
    <w:lvlOverride w:ilvl="0">
      <w:startOverride w:val="1"/>
    </w:lvlOverride>
  </w:num>
  <w:num w:numId="21">
    <w:abstractNumId w:val="10"/>
    <w:lvlOverride w:ilvl="0">
      <w:startOverride w:val="1"/>
    </w:lvlOverride>
  </w:num>
  <w:num w:numId="2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386EF6"/>
    <w:rsid w:val="00042254"/>
    <w:rsid w:val="001B4885"/>
    <w:rsid w:val="00386E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EE0875-FF04-47C9-A91B-FEBA3C2C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next w:val="Standard"/>
    <w:rPr>
      <w:sz w:val="20"/>
      <w:szCs w:val="20"/>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customStyle="1" w:styleId="Default">
    <w:name w:val="Default"/>
    <w:pPr>
      <w:autoSpaceDE w:val="0"/>
    </w:pPr>
    <w:rPr>
      <w:rFonts w:ascii="標楷體, 'DF Kai Shu'" w:eastAsia="新細明體, PMingLiU" w:hAnsi="標楷體, 'DF Kai Shu'" w:cs="標楷體, 'DF Kai Shu'"/>
      <w:color w:val="000000"/>
      <w:lang w:bidi="ar-SA"/>
    </w:rPr>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styleId="a8">
    <w:name w:val="Balloon Text"/>
    <w:basedOn w:val="Standard"/>
    <w:rPr>
      <w:rFonts w:ascii="Cambria" w:hAnsi="Cambria"/>
      <w:sz w:val="18"/>
      <w:szCs w:val="18"/>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DF Kai Shu'"/>
      <w:color w:val="000000"/>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DF Kai Shu'" w:eastAsia="標楷體, 'DF Kai Shu'" w:hAnsi="標楷體, 'DF Kai Shu'" w:cs="標楷體, 'DF Kai Shu'"/>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DF Kai Shu'" w:eastAsia="標楷體, 'DF Kai Shu'" w:hAnsi="標楷體, 'DF Kai Shu'" w:cs="標楷體, 'DF Kai Shu'"/>
      <w:color w:val="000000"/>
      <w:sz w:val="28"/>
      <w:szCs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a9">
    <w:name w:val="頁首 字元"/>
    <w:rPr>
      <w:sz w:val="20"/>
      <w:szCs w:val="20"/>
    </w:rPr>
  </w:style>
  <w:style w:type="character" w:customStyle="1" w:styleId="aa">
    <w:name w:val="頁尾 字元"/>
    <w:rPr>
      <w:sz w:val="20"/>
      <w:szCs w:val="20"/>
    </w:rPr>
  </w:style>
  <w:style w:type="character" w:customStyle="1" w:styleId="ab">
    <w:name w:val="註解方塊文字 字元"/>
    <w:rPr>
      <w:rFonts w:ascii="Cambria" w:eastAsia="新細明體, PMingLiU" w:hAnsi="Cambria" w:cs="Times New Roman"/>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e-2416</dc:creator>
  <cp:lastModifiedBy>User</cp:lastModifiedBy>
  <cp:revision>2</cp:revision>
  <cp:lastPrinted>2019-05-31T15:35:00Z</cp:lastPrinted>
  <dcterms:created xsi:type="dcterms:W3CDTF">2019-08-29T06:47:00Z</dcterms:created>
  <dcterms:modified xsi:type="dcterms:W3CDTF">2019-08-29T06:47:00Z</dcterms:modified>
</cp:coreProperties>
</file>